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999D0">
      <w:pPr>
        <w:spacing w:line="860" w:lineRule="exact"/>
        <w:jc w:val="center"/>
        <w:rPr>
          <w:rFonts w:ascii="华文中宋" w:hAnsi="华文中宋" w:eastAsia="华文中宋" w:cs="Times New Roman"/>
          <w:b/>
          <w:spacing w:val="20"/>
          <w:sz w:val="52"/>
          <w:szCs w:val="52"/>
        </w:rPr>
      </w:pPr>
      <w:r>
        <w:rPr>
          <w:rFonts w:hint="eastAsia" w:ascii="华文中宋" w:hAnsi="华文中宋" w:eastAsia="华文中宋" w:cs="Times New Roman"/>
          <w:b/>
          <w:spacing w:val="20"/>
          <w:sz w:val="52"/>
          <w:szCs w:val="52"/>
        </w:rPr>
        <w:t>晋城市人民政府</w:t>
      </w:r>
    </w:p>
    <w:p w14:paraId="6F5ABEEF">
      <w:pPr>
        <w:spacing w:line="860" w:lineRule="exact"/>
        <w:jc w:val="center"/>
        <w:rPr>
          <w:rFonts w:hint="eastAsia" w:ascii="宋体" w:hAnsi="宋体" w:eastAsia="宋体" w:cs="Times New Roman"/>
          <w:b/>
          <w:sz w:val="52"/>
          <w:szCs w:val="52"/>
        </w:rPr>
      </w:pPr>
      <w:r>
        <w:rPr>
          <w:rFonts w:hint="eastAsia" w:ascii="华文中宋" w:hAnsi="华文中宋" w:eastAsia="华文中宋" w:cs="Times New Roman"/>
          <w:b/>
          <w:sz w:val="52"/>
          <w:szCs w:val="52"/>
          <w:lang w:eastAsia="zh-CN"/>
        </w:rPr>
        <w:t>驳回</w:t>
      </w:r>
      <w:r>
        <w:rPr>
          <w:rFonts w:hint="eastAsia" w:ascii="华文中宋" w:hAnsi="华文中宋" w:eastAsia="华文中宋" w:cs="Times New Roman"/>
          <w:b/>
          <w:sz w:val="52"/>
          <w:szCs w:val="52"/>
        </w:rPr>
        <w:t>行政复议</w:t>
      </w:r>
      <w:r>
        <w:rPr>
          <w:rFonts w:hint="eastAsia" w:ascii="华文中宋" w:hAnsi="华文中宋" w:eastAsia="华文中宋" w:cs="Times New Roman"/>
          <w:b/>
          <w:sz w:val="52"/>
          <w:szCs w:val="52"/>
          <w:lang w:eastAsia="zh-CN"/>
        </w:rPr>
        <w:t>请求</w:t>
      </w:r>
      <w:r>
        <w:rPr>
          <w:rFonts w:hint="eastAsia" w:ascii="华文中宋" w:hAnsi="华文中宋" w:eastAsia="华文中宋" w:cs="Times New Roman"/>
          <w:b/>
          <w:sz w:val="52"/>
          <w:szCs w:val="52"/>
        </w:rPr>
        <w:t>决定书</w:t>
      </w:r>
    </w:p>
    <w:p w14:paraId="5842ADA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jc w:val="right"/>
        <w:textAlignment w:val="auto"/>
        <w:outlineLvl w:val="9"/>
        <w:rPr>
          <w:rFonts w:hint="eastAsia" w:ascii="仿宋_GB2312" w:hAnsi="新宋体" w:eastAsia="仿宋_GB2312" w:cs="Times New Roman"/>
          <w:sz w:val="32"/>
          <w:szCs w:val="32"/>
        </w:rPr>
      </w:pPr>
      <w:bookmarkStart w:id="0" w:name="casenumber"/>
      <w:bookmarkEnd w:id="0"/>
      <w:r>
        <w:rPr>
          <w:rFonts w:hint="eastAsia" w:ascii="仿宋_GB2312" w:hAnsi="新宋体" w:eastAsia="仿宋_GB2312" w:cs="Times New Roman"/>
          <w:sz w:val="32"/>
          <w:szCs w:val="32"/>
        </w:rPr>
        <w:t>〔</w:t>
      </w:r>
      <w:r>
        <w:rPr>
          <w:rFonts w:ascii="仿宋_GB2312" w:hAnsi="新宋体" w:eastAsia="仿宋_GB2312" w:cs="Times New Roman"/>
          <w:sz w:val="32"/>
          <w:szCs w:val="32"/>
        </w:rPr>
        <w:t>20</w:t>
      </w:r>
      <w:r>
        <w:rPr>
          <w:rFonts w:hint="eastAsia" w:ascii="仿宋_GB2312" w:hAnsi="新宋体" w:eastAsia="仿宋_GB2312" w:cs="Times New Roman"/>
          <w:sz w:val="32"/>
          <w:szCs w:val="32"/>
          <w:lang w:val="en-US" w:eastAsia="zh-CN"/>
        </w:rPr>
        <w:t>24</w:t>
      </w:r>
      <w:r>
        <w:rPr>
          <w:rFonts w:ascii="仿宋_GB2312" w:hAnsi="新宋体" w:eastAsia="仿宋_GB2312" w:cs="Times New Roman"/>
          <w:sz w:val="32"/>
          <w:szCs w:val="32"/>
        </w:rPr>
        <w:t>〕</w:t>
      </w:r>
      <w:r>
        <w:rPr>
          <w:rFonts w:hint="eastAsia" w:ascii="仿宋_GB2312" w:hAnsi="新宋体" w:eastAsia="仿宋_GB2312" w:cs="Times New Roman"/>
          <w:sz w:val="32"/>
          <w:szCs w:val="32"/>
          <w:lang w:val="en-US" w:eastAsia="zh-CN"/>
        </w:rPr>
        <w:t>87</w:t>
      </w:r>
      <w:r>
        <w:rPr>
          <w:rFonts w:ascii="仿宋_GB2312" w:hAnsi="新宋体" w:eastAsia="仿宋_GB2312" w:cs="Times New Roman"/>
          <w:sz w:val="32"/>
          <w:szCs w:val="32"/>
        </w:rPr>
        <w:t>号</w:t>
      </w:r>
    </w:p>
    <w:p w14:paraId="076BC9F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申请人</w:t>
      </w:r>
      <w:r>
        <w:rPr>
          <w:rFonts w:hint="eastAsia" w:ascii="仿宋_GB2312" w:hAnsi="Times New Roman" w:eastAsia="仿宋_GB2312" w:cs="Times New Roman"/>
          <w:sz w:val="32"/>
          <w:szCs w:val="32"/>
          <w:lang w:eastAsia="zh-CN"/>
        </w:rPr>
        <w:t>：</w:t>
      </w:r>
      <w:r>
        <w:rPr>
          <w:rFonts w:hint="eastAsia" w:ascii="仿宋_GB2312" w:eastAsia="仿宋_GB2312" w:cs="Times New Roman"/>
          <w:sz w:val="32"/>
          <w:szCs w:val="32"/>
          <w:lang w:eastAsia="zh-CN"/>
        </w:rPr>
        <w:t>张某</w:t>
      </w:r>
    </w:p>
    <w:p w14:paraId="50D083D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被申请人</w:t>
      </w:r>
      <w:r>
        <w:rPr>
          <w:rFonts w:hint="eastAsia" w:ascii="仿宋_GB2312" w:hAnsi="Times New Roman" w:eastAsia="仿宋_GB2312" w:cs="Times New Roman"/>
          <w:strike w:val="0"/>
          <w:dstrike w:val="0"/>
          <w:sz w:val="32"/>
          <w:szCs w:val="32"/>
          <w:lang w:eastAsia="zh-CN"/>
        </w:rPr>
        <w:t>：沁水县人民政府</w:t>
      </w:r>
    </w:p>
    <w:p w14:paraId="64B800E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trike w:val="0"/>
          <w:dstrike w:val="0"/>
          <w:sz w:val="32"/>
          <w:szCs w:val="32"/>
          <w:lang w:eastAsia="zh-CN"/>
        </w:rPr>
        <w:t>闫晋中</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职务：</w:t>
      </w:r>
      <w:r>
        <w:rPr>
          <w:rFonts w:hint="eastAsia" w:ascii="仿宋_GB2312" w:hAnsi="Times New Roman" w:eastAsia="仿宋_GB2312" w:cs="Times New Roman"/>
          <w:sz w:val="32"/>
          <w:szCs w:val="32"/>
          <w:lang w:eastAsia="zh-CN"/>
        </w:rPr>
        <w:t>县长</w:t>
      </w:r>
    </w:p>
    <w:p w14:paraId="6144C02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7843983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cs="Times New Roman"/>
          <w:sz w:val="32"/>
          <w:szCs w:val="32"/>
          <w:lang w:eastAsia="zh-CN"/>
        </w:rPr>
        <w:t>申请人对位于山西省晋城市沁水县某乡某村某自然庄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2823C94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380272B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7113638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2057641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1B379C4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自然庄村民居住区位于</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采煤区域，受到地质灾害的威胁，为保护村民生命财产的安全，</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50BE935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 xml:space="preserve">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采煤沉陷区搬迁治理涉及</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岩村、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山村，规划搬迁安置采煤沉陷区治理搬迁安置户162户、449口人，规划在</w:t>
      </w:r>
      <w:r>
        <w:rPr>
          <w:rFonts w:hint="eastAsia" w:ascii="仿宋_GB2312" w:eastAsia="仿宋_GB2312" w:cs="Times New Roman"/>
          <w:sz w:val="32"/>
          <w:szCs w:val="32"/>
          <w:lang w:eastAsia="zh-CN"/>
        </w:rPr>
        <w:t>某村</w:t>
      </w:r>
      <w:r>
        <w:rPr>
          <w:rFonts w:hint="eastAsia" w:ascii="仿宋_GB2312" w:hAnsi="Times New Roman" w:eastAsia="仿宋_GB2312" w:cs="Times New Roman"/>
          <w:sz w:val="32"/>
          <w:szCs w:val="32"/>
          <w:lang w:eastAsia="zh-CN"/>
        </w:rPr>
        <w:t xml:space="preserve">新建安置住宅及配套公共服务用房17496平方米，搬迁安置完成后复垦宅基地等各类用地243亩。四、保障措施（一）组织保障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（镇）人民政府等相关乡镇是采煤沉陷区综合治理的主要责任主体乡镇，对其范围内的采煤沉陷区治理负责；也是采煤沉陷区治理的项目实施主体，负责具体落实采煤沉陷区治理中的各项任务。”</w:t>
      </w:r>
    </w:p>
    <w:p w14:paraId="48D466D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人民政府按照沁水县政府的实施方案要求，根据《山西省地质灾害防治条例》中地质灾害避让搬迁的第二十五条、第二十六条、第二十七条之规定，履行了采煤沉陷区治理的项目实施主体责任，</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自然庄避让搬迁项目依法实施，维护了村民的合法权益。</w:t>
      </w:r>
    </w:p>
    <w:p w14:paraId="771DE9C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人民政府收到</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公司关于压煤村庄搬迁请示。2021年10月25日，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党政班子联席会议研究</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避让搬迁事宜，明确了分管负责人，成立了工作专班。2021年11月，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人民政府以胡政函（2021）28号《关于同意</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公司实施</w:t>
      </w:r>
      <w:r>
        <w:rPr>
          <w:rFonts w:hint="eastAsia" w:ascii="仿宋_GB2312" w:eastAsia="仿宋_GB2312" w:cs="Times New Roman"/>
          <w:sz w:val="32"/>
          <w:szCs w:val="32"/>
          <w:lang w:eastAsia="zh-CN"/>
        </w:rPr>
        <w:t>某村某</w:t>
      </w:r>
      <w:r>
        <w:rPr>
          <w:rFonts w:hint="eastAsia" w:ascii="仿宋_GB2312" w:hAnsi="Times New Roman" w:eastAsia="仿宋_GB2312" w:cs="Times New Roman"/>
          <w:sz w:val="32"/>
          <w:szCs w:val="32"/>
          <w:lang w:eastAsia="zh-CN"/>
        </w:rPr>
        <w:t>自然庄移民搬迁事宜的回复》，同意该搬迁事宜。2022年5月5日、2023年2月17日、2023年7月19日，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人民政府组织各方专题研究避让搬迁工作，明确了相关工作要求，确保了避让搬迁工作安全有序进行。管理服务单位于2023年3月24日至4月底入户进行摸底调查，征求村民意见，127户住户均同意搬迁。</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自然庄搬迁补偿实施方案经过了村党支部、村“两委”班子会、村党员大会、村民代表大会讨论通过，并进行了公示。</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人民政府在搬迁启动、方案制定、搬迁程序上严格把关，起到了主导作用，落实了主体责任。</w:t>
      </w:r>
    </w:p>
    <w:p w14:paraId="7E1E0193">
      <w:pPr>
        <w:keepNext w:val="0"/>
        <w:keepLines w:val="0"/>
        <w:pageBreakBefore w:val="0"/>
        <w:widowControl w:val="0"/>
        <w:numPr>
          <w:ilvl w:val="0"/>
          <w:numId w:val="1"/>
        </w:numPr>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因采煤沉陷造成的</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自然庄避让搬迁，不符合适用《国有土地上房屋征收与补偿条例》的条件。</w:t>
      </w:r>
    </w:p>
    <w:p w14:paraId="1613B94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自然庄是集体土地，而且是因采煤沉陷引发的避让搬迁，无法参照适用该条例。村民所签搬迁补偿协议自愿、公平、合法，不存在通过话术诱导、威胁等方式，要求村民签订补偿协议的行为。</w:t>
      </w:r>
    </w:p>
    <w:p w14:paraId="0955313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自然庄避让搬迁项目依法实施，被申请人已依法履行安置补偿职责，申请人的复议请求不能成立。根据《中华人民共和国行政复议法》第六十九条之规定，请求行政复议机关依法驳回申请人的行政复议请求。</w:t>
      </w:r>
    </w:p>
    <w:p w14:paraId="217C6C7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经审理查明：</w:t>
      </w:r>
      <w:r>
        <w:rPr>
          <w:rFonts w:hint="eastAsia" w:ascii="仿宋_GB2312" w:hAnsi="Times New Roman" w:eastAsia="仿宋_GB2312" w:cs="Times New Roman"/>
          <w:sz w:val="32"/>
          <w:szCs w:val="32"/>
          <w:lang w:eastAsia="zh-CN"/>
        </w:rPr>
        <w:t>申请人</w:t>
      </w:r>
      <w:r>
        <w:rPr>
          <w:rFonts w:hint="eastAsia" w:ascii="仿宋_GB2312" w:hAnsi="Times New Roman" w:eastAsia="仿宋_GB2312" w:cs="Times New Roman"/>
          <w:sz w:val="32"/>
          <w:szCs w:val="32"/>
        </w:rPr>
        <w:t>是</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村民，</w:t>
      </w:r>
      <w:r>
        <w:rPr>
          <w:rFonts w:hint="eastAsia" w:ascii="仿宋_GB2312" w:hAnsi="Times New Roman" w:eastAsia="仿宋_GB2312" w:cs="Times New Roman"/>
          <w:sz w:val="32"/>
          <w:szCs w:val="32"/>
          <w:lang w:eastAsia="zh-CN"/>
        </w:rPr>
        <w:t>其在</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lang w:val="en-US" w:eastAsia="zh-CN"/>
        </w:rPr>
        <w:t>拥有房屋。</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自然庄处于采煤沉陷区，属于沁水县“十四五”治理范围。</w:t>
      </w:r>
      <w:r>
        <w:rPr>
          <w:rFonts w:hint="eastAsia" w:ascii="仿宋_GB2312" w:hAnsi="Times New Roman" w:eastAsia="仿宋_GB2312" w:cs="Times New Roman"/>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有限公司、沁水县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人民政府、沁水县</w:t>
      </w:r>
      <w:r>
        <w:rPr>
          <w:rFonts w:hint="eastAsia" w:ascii="仿宋_GB2312" w:eastAsia="仿宋_GB2312" w:cs="Times New Roman"/>
          <w:sz w:val="32"/>
          <w:szCs w:val="32"/>
          <w:lang w:val="en-US" w:eastAsia="zh-CN"/>
        </w:rPr>
        <w:t>某乡某村</w:t>
      </w:r>
      <w:r>
        <w:rPr>
          <w:rFonts w:hint="eastAsia" w:ascii="仿宋_GB2312" w:hAnsi="Times New Roman" w:eastAsia="仿宋_GB2312" w:cs="Times New Roman"/>
          <w:sz w:val="32"/>
          <w:szCs w:val="32"/>
          <w:lang w:val="en-US" w:eastAsia="zh-CN"/>
        </w:rPr>
        <w:t>（</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）村民委员会和山西</w:t>
      </w:r>
      <w:r>
        <w:rPr>
          <w:rFonts w:hint="eastAsia" w:ascii="仿宋_GB2312" w:eastAsia="仿宋_GB2312" w:cs="Times New Roman"/>
          <w:sz w:val="32"/>
          <w:szCs w:val="32"/>
          <w:lang w:val="en-US" w:eastAsia="zh-CN"/>
        </w:rPr>
        <w:t>某</w:t>
      </w:r>
      <w:r>
        <w:rPr>
          <w:rFonts w:hint="eastAsia" w:ascii="仿宋_GB2312" w:hAnsi="Times New Roman" w:eastAsia="仿宋_GB2312" w:cs="Times New Roman"/>
          <w:sz w:val="32"/>
          <w:szCs w:val="32"/>
          <w:lang w:val="en-US" w:eastAsia="zh-CN"/>
        </w:rPr>
        <w:t>数据管理有限公司共同签订《</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压煤村庄（</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）搬迁补偿项目四方协议》。《沁水县</w:t>
      </w:r>
      <w:r>
        <w:rPr>
          <w:rFonts w:hint="eastAsia" w:ascii="仿宋_GB2312" w:eastAsia="仿宋_GB2312" w:cs="Times New Roman"/>
          <w:sz w:val="32"/>
          <w:szCs w:val="32"/>
          <w:lang w:val="en-US" w:eastAsia="zh-CN"/>
        </w:rPr>
        <w:t>某乡某</w:t>
      </w:r>
      <w:r>
        <w:rPr>
          <w:rFonts w:hint="eastAsia" w:ascii="仿宋_GB2312" w:hAnsi="Times New Roman" w:eastAsia="仿宋_GB2312" w:cs="Times New Roman"/>
          <w:sz w:val="32"/>
          <w:szCs w:val="32"/>
          <w:lang w:val="en-US" w:eastAsia="zh-CN"/>
        </w:rPr>
        <w:t>自然庄搬迁补偿实施方案》通过“四议两公开”程序讨论、表决、公示。</w:t>
      </w:r>
    </w:p>
    <w:p w14:paraId="35BC6356">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因申请人就搬迁补偿有不同意见，2024年3月26日，申请人通过EMS向被申请人提出《安置补偿履职申请书》，被申请人未予答复。</w:t>
      </w:r>
    </w:p>
    <w:p w14:paraId="5F101F4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w:t>
      </w:r>
      <w:r>
        <w:rPr>
          <w:rFonts w:hint="eastAsia" w:ascii="仿宋_GB2312" w:hAnsi="Times New Roman" w:eastAsia="仿宋_GB2312" w:cs="Times New Roman"/>
          <w:sz w:val="32"/>
          <w:szCs w:val="32"/>
          <w:lang w:eastAsia="zh-CN"/>
        </w:rPr>
        <w:t>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hAnsi="Times New Roman" w:eastAsia="仿宋_GB2312" w:cs="Times New Roman"/>
          <w:sz w:val="32"/>
          <w:szCs w:val="32"/>
          <w:lang w:val="en-US" w:eastAsia="zh-CN"/>
        </w:rPr>
        <w:t>安置补偿履职申请没有事实依据。</w:t>
      </w:r>
    </w:p>
    <w:p w14:paraId="1A42954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某乡某</w:t>
      </w:r>
      <w:r>
        <w:rPr>
          <w:rFonts w:hint="eastAsia" w:ascii="仿宋_GB2312" w:hAnsi="Times New Roman" w:eastAsia="仿宋_GB2312" w:cs="Times New Roman"/>
          <w:sz w:val="32"/>
          <w:szCs w:val="32"/>
          <w:lang w:val="en-US" w:eastAsia="zh-CN"/>
        </w:rPr>
        <w:t>自然庄搬迁补偿实施方案》是由沁水县</w:t>
      </w:r>
      <w:r>
        <w:rPr>
          <w:rFonts w:hint="eastAsia" w:ascii="仿宋_GB2312" w:eastAsia="仿宋_GB2312" w:cs="Times New Roman"/>
          <w:sz w:val="32"/>
          <w:szCs w:val="32"/>
          <w:lang w:val="en-US" w:eastAsia="zh-CN"/>
        </w:rPr>
        <w:t>某村</w:t>
      </w:r>
      <w:r>
        <w:rPr>
          <w:rFonts w:hint="eastAsia" w:ascii="仿宋_GB2312" w:hAnsi="Times New Roman" w:eastAsia="仿宋_GB2312" w:cs="Times New Roman"/>
          <w:sz w:val="32"/>
          <w:szCs w:val="32"/>
          <w:lang w:val="en-US" w:eastAsia="zh-CN"/>
        </w:rPr>
        <w:t>村民委员会制定，并通过“四议两公开”程序讨论、表决、公示。申请人对搬迁安置补偿有异议，应当按照村民委员会组织法规定的方式和途径寻求解决，而不是直接要求被申请人履行安置补偿职责。</w:t>
      </w:r>
    </w:p>
    <w:p w14:paraId="2F47DFF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 w:hAnsi="仿宋" w:eastAsia="仿宋" w:cs="仿宋"/>
          <w:sz w:val="32"/>
          <w:szCs w:val="32"/>
          <w:lang w:eastAsia="zh-CN"/>
        </w:rPr>
        <w:t>综上，</w:t>
      </w:r>
      <w:r>
        <w:rPr>
          <w:rFonts w:hint="eastAsia" w:ascii="仿宋_GB2312" w:hAnsi="Times New Roman" w:eastAsia="仿宋_GB2312" w:cs="Times New Roman"/>
          <w:sz w:val="32"/>
          <w:szCs w:val="32"/>
        </w:rPr>
        <w:t>根据《中华人民共和国行政复议法》第</w:t>
      </w:r>
      <w:r>
        <w:rPr>
          <w:rFonts w:hint="eastAsia" w:ascii="仿宋_GB2312" w:hAnsi="Times New Roman" w:eastAsia="仿宋_GB2312" w:cs="Times New Roman"/>
          <w:sz w:val="32"/>
          <w:szCs w:val="32"/>
          <w:lang w:eastAsia="zh-CN"/>
        </w:rPr>
        <w:t>六十九</w:t>
      </w:r>
      <w:r>
        <w:rPr>
          <w:rFonts w:hint="eastAsia" w:ascii="仿宋_GB2312" w:hAnsi="Times New Roman" w:eastAsia="仿宋_GB2312" w:cs="Times New Roman"/>
          <w:sz w:val="32"/>
          <w:szCs w:val="32"/>
        </w:rPr>
        <w:t>条的规定，本复议机关作出如下决定：</w:t>
      </w:r>
    </w:p>
    <w:p w14:paraId="2D80FAF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hAnsi="Times New Roman" w:eastAsia="仿宋_GB2312" w:cs="Times New Roman"/>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760C6037">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zh-CN"/>
        </w:rPr>
        <w:t>如对本复议决定不服，申请人可在收到复议决定书后十五日内向长治市中级人民法院提起行政诉讼。</w:t>
      </w:r>
    </w:p>
    <w:p w14:paraId="59BC3CF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p>
    <w:p w14:paraId="7133BF7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hAnsi="Times New Roman" w:eastAsia="仿宋_GB2312" w:cs="Times New Roman"/>
          <w:sz w:val="32"/>
          <w:szCs w:val="32"/>
        </w:rPr>
      </w:pPr>
    </w:p>
    <w:p w14:paraId="14FD37A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hAnsi="Times New Roman" w:eastAsia="仿宋_GB2312" w:cs="Times New Roman"/>
          <w:sz w:val="32"/>
          <w:szCs w:val="32"/>
        </w:rPr>
      </w:pPr>
    </w:p>
    <w:p w14:paraId="0AD6095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eastAsia="zh-CN"/>
        </w:rPr>
        <w:t>二〇二四年</w:t>
      </w:r>
      <w:r>
        <w:rPr>
          <w:rFonts w:hint="eastAsia" w:ascii="仿宋_GB2312" w:hAnsi="Times New Roman" w:eastAsia="仿宋_GB2312" w:cs="Times New Roman"/>
          <w:sz w:val="32"/>
          <w:szCs w:val="32"/>
          <w:lang w:val="en-US" w:eastAsia="zh-CN"/>
        </w:rPr>
        <w:t>八</w:t>
      </w:r>
      <w:r>
        <w:rPr>
          <w:rFonts w:hint="eastAsia" w:ascii="仿宋_GB2312" w:hAnsi="Times New Roman" w:eastAsia="仿宋_GB2312" w:cs="Times New Roman"/>
          <w:sz w:val="32"/>
          <w:szCs w:val="32"/>
          <w:lang w:eastAsia="zh-CN"/>
        </w:rPr>
        <w:t>月</w:t>
      </w:r>
      <w:r>
        <w:rPr>
          <w:rFonts w:hint="eastAsia" w:ascii="仿宋_GB2312" w:eastAsia="仿宋_GB2312" w:cs="Times New Roman"/>
          <w:sz w:val="32"/>
          <w:szCs w:val="32"/>
          <w:lang w:eastAsia="zh-CN"/>
        </w:rPr>
        <w:t>二十七</w:t>
      </w:r>
      <w:r>
        <w:rPr>
          <w:rFonts w:hint="eastAsia" w:ascii="仿宋_GB2312" w:hAnsi="Times New Roman" w:eastAsia="仿宋_GB2312" w:cs="Times New Roman"/>
          <w:sz w:val="32"/>
          <w:szCs w:val="32"/>
          <w:lang w:eastAsia="zh-CN"/>
        </w:rPr>
        <w:t>日</w:t>
      </w:r>
    </w:p>
    <w:p w14:paraId="7E81B92D"/>
    <w:p w14:paraId="022BBBE7"/>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0ABF5">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1</w:t>
    </w:r>
    <w:r>
      <w:rPr>
        <w:rFonts w:ascii="Times New Roman" w:hAnsi="Times New Roman" w:eastAsia="宋体" w:cs="Times New Roman"/>
      </w:rPr>
      <w:fldChar w:fldCharType="end"/>
    </w:r>
  </w:p>
  <w:p w14:paraId="0CBA865F">
    <w:pPr>
      <w:pStyle w:val="2"/>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315C1">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4</w:t>
    </w:r>
    <w:r>
      <w:rPr>
        <w:rFonts w:ascii="Times New Roman" w:hAnsi="Times New Roman" w:eastAsia="宋体" w:cs="Times New Roman"/>
      </w:rPr>
      <w:fldChar w:fldCharType="end"/>
    </w:r>
  </w:p>
  <w:p w14:paraId="7B8B460D">
    <w:pPr>
      <w:pStyle w:val="2"/>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F37A5">
    <w:pPr>
      <w:pStyle w:val="3"/>
      <w:pBdr>
        <w:bottom w:val="none" w:color="auto" w:sz="0" w:space="0"/>
      </w:pBdr>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22D5C"/>
    <w:multiLevelType w:val="singleLevel"/>
    <w:tmpl w:val="AF422D5C"/>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E36E9"/>
    <w:rsid w:val="3F7E36E9"/>
    <w:rsid w:val="8FE9D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2025-04-01T15:21:00Z</dcterms:created>
  <dc:creator>山风</dc:creator>
  <cp:lastModifiedBy>greatwall</cp:lastModifiedBy>
  <dcterms:modified xsi:type="dcterms:W3CDTF">2026-05-14T09:43:28Z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1253123B13FE485485D5AAC7BF6ED1EE_11</vt:lpwstr>
  </property>
  <property fmtid="{D5CDD505-2E9C-101B-9397-08002B2CF9AE}" pid="4" name="KSOTemplateDocerSaveRecord">
    <vt:lpwstr>eyJoZGlkIjoiY2FiYmY1MTJkNjk2MzJlZDQxYzcyNWJlOGEwNWQ3M2IiLCJ1c2VySWQiOiIyODA5MjQ0NjcifQ==</vt:lpwstr>
  </property>
</Properties>
</file>