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705FE">
      <w:pPr>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027EBCC0">
      <w:pPr>
        <w:spacing w:line="860" w:lineRule="exact"/>
        <w:jc w:val="center"/>
        <w:rPr>
          <w:rFonts w:hint="eastAsia" w:ascii="宋体" w:hAnsi="宋体"/>
          <w:b/>
          <w:sz w:val="52"/>
          <w:szCs w:val="52"/>
        </w:rPr>
      </w:pPr>
      <w:r>
        <w:rPr>
          <w:rFonts w:hint="eastAsia" w:ascii="华文中宋" w:hAnsi="华文中宋" w:eastAsia="华文中宋"/>
          <w:b/>
          <w:sz w:val="52"/>
          <w:szCs w:val="52"/>
          <w:lang w:eastAsia="zh-CN"/>
        </w:rPr>
        <w:t>驳回</w:t>
      </w:r>
      <w:r>
        <w:rPr>
          <w:rFonts w:hint="eastAsia" w:ascii="华文中宋" w:hAnsi="华文中宋" w:eastAsia="华文中宋"/>
          <w:b/>
          <w:sz w:val="52"/>
          <w:szCs w:val="52"/>
        </w:rPr>
        <w:t>行政复议</w:t>
      </w:r>
      <w:r>
        <w:rPr>
          <w:rFonts w:hint="eastAsia" w:ascii="华文中宋" w:hAnsi="华文中宋" w:eastAsia="华文中宋"/>
          <w:b/>
          <w:sz w:val="52"/>
          <w:szCs w:val="52"/>
          <w:lang w:eastAsia="zh-CN"/>
        </w:rPr>
        <w:t>请求</w:t>
      </w:r>
      <w:r>
        <w:rPr>
          <w:rFonts w:hint="eastAsia" w:ascii="华文中宋" w:hAnsi="华文中宋" w:eastAsia="华文中宋"/>
          <w:b/>
          <w:sz w:val="52"/>
          <w:szCs w:val="52"/>
        </w:rPr>
        <w:t>决定书</w:t>
      </w:r>
    </w:p>
    <w:p w14:paraId="607607D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rPr>
      </w:pPr>
      <w:bookmarkStart w:id="0" w:name="casenumber"/>
      <w:bookmarkEnd w:id="0"/>
    </w:p>
    <w:p w14:paraId="4E9ACE4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default" w:ascii="仿宋_GB2312" w:eastAsia="仿宋_GB2312"/>
          <w:sz w:val="32"/>
          <w:szCs w:val="32"/>
          <w:lang w:val="en-US" w:eastAsia="zh-CN"/>
        </w:rPr>
      </w:pPr>
      <w:r>
        <w:rPr>
          <w:rFonts w:hint="eastAsia" w:ascii="仿宋_GB2312" w:eastAsia="仿宋_GB2312"/>
          <w:sz w:val="32"/>
          <w:szCs w:val="32"/>
        </w:rPr>
        <w:t>申请人</w:t>
      </w:r>
      <w:r>
        <w:rPr>
          <w:rFonts w:hint="eastAsia" w:ascii="仿宋_GB2312" w:eastAsia="仿宋_GB2312"/>
          <w:sz w:val="32"/>
          <w:szCs w:val="32"/>
          <w:lang w:eastAsia="zh-CN"/>
        </w:rPr>
        <w:t>：张某</w:t>
      </w:r>
    </w:p>
    <w:p w14:paraId="3FC69D6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hAnsi="Times New Roman" w:eastAsia="仿宋_GB2312" w:cs="Times New Roman"/>
          <w:sz w:val="32"/>
          <w:szCs w:val="32"/>
          <w:lang w:eastAsia="zh-CN"/>
        </w:rPr>
      </w:pPr>
      <w:r>
        <w:rPr>
          <w:rFonts w:hint="eastAsia" w:ascii="仿宋_GB2312" w:eastAsia="仿宋_GB2312"/>
          <w:sz w:val="32"/>
          <w:szCs w:val="32"/>
        </w:rPr>
        <w:t>被申请人：</w:t>
      </w:r>
      <w:r>
        <w:rPr>
          <w:rFonts w:hint="eastAsia" w:ascii="仿宋_GB2312" w:hAnsi="Times New Roman" w:eastAsia="仿宋_GB2312" w:cs="Times New Roman"/>
          <w:sz w:val="32"/>
          <w:szCs w:val="32"/>
          <w:lang w:eastAsia="zh-CN"/>
        </w:rPr>
        <w:t>沁水县人民政府</w:t>
      </w:r>
    </w:p>
    <w:p w14:paraId="1C878A2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trike w:val="0"/>
          <w:dstrike w:val="0"/>
          <w:sz w:val="32"/>
          <w:szCs w:val="32"/>
          <w:lang w:eastAsia="zh-CN"/>
        </w:rPr>
        <w:t>闫晋中</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职务：</w:t>
      </w:r>
      <w:r>
        <w:rPr>
          <w:rFonts w:hint="eastAsia" w:ascii="仿宋_GB2312" w:eastAsia="仿宋_GB2312"/>
          <w:sz w:val="32"/>
          <w:szCs w:val="32"/>
          <w:lang w:eastAsia="zh-CN"/>
        </w:rPr>
        <w:t>县长</w:t>
      </w:r>
    </w:p>
    <w:p w14:paraId="082FD56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564F60DD">
      <w:pPr>
        <w:spacing w:line="360" w:lineRule="auto"/>
        <w:ind w:firstLine="640" w:firstLineChars="200"/>
        <w:rPr>
          <w:rFonts w:hint="eastAsia" w:ascii="仿宋_GB2312" w:hAnsi="新宋体" w:eastAsia="仿宋_GB2312"/>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sz w:val="32"/>
          <w:szCs w:val="32"/>
          <w:lang w:eastAsia="zh-CN"/>
        </w:rPr>
        <w:t>申请人对位于山西省晋城市沁水县某乡某村某自然庄村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53DA282A">
      <w:pPr>
        <w:spacing w:line="360" w:lineRule="auto"/>
        <w:ind w:firstLine="640" w:firstLineChars="200"/>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3A2BD419">
      <w:pPr>
        <w:spacing w:line="360" w:lineRule="auto"/>
        <w:ind w:firstLine="640" w:firstLineChars="200"/>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1C94EB2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1697D0B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1E705D9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某乡某自然庄村民居住区位于某煤业采煤区域，受到地质灾害的威胁，为保护村民生命财产的安全，某自然庄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6EEF718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某乡 某乡采煤沉陷区搬迁治理涉及某自然庄、某岩村、某山村，规划搬迁安置采煤沉陷区治理搬迁安置户162户、449口人，规划在某村新建安置住宅及配套公共服务用房17496平方米，搬迁安置完成后复垦宅基地等各类用地243亩。四、保障措施（一）组织保障 某乡（镇）人民政府等相关乡镇是采煤沉陷区综合治理的主要责任主体乡镇，对其范围内的采煤沉陷区治理负责；也是采煤沉陷区治理的项目实施主体，负责具体落实采煤沉陷区治理中的各项任务。”</w:t>
      </w:r>
    </w:p>
    <w:p w14:paraId="2D3B07D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某乡人民政府按照沁水县政府的实施方案要求，根据《山西省地质灾害防治条例》中地质灾害避让搬迁的第二十五条、第二十六条、第二十七条之规定，履行了采煤沉陷区治理的项目实施主体责任，某自然庄避让搬迁项目依法实施，维护了村民的合法权益。</w:t>
      </w:r>
    </w:p>
    <w:p w14:paraId="4485B37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某乡人民政府收到某煤业公司关于压煤村庄搬迁请示。2021年10月25日，某乡党政班子联席会议研究某自然庄避让搬迁事宜，明确了分管负责人，成立了工作专班。2021年11月，某乡人民政府以胡政函（2021）28号《关于同意某煤业公司实施某村某自然庄移民搬迁事宜的回复》，同意该搬迁事宜。2022年5月5日、2023年2月17日、2023年7月19日，某乡人民政府组织各方专题研究避让搬迁工作，明确了相关工作要求，确保了避让搬迁工作安全有序进行。管理服务单位于2023年3月24日至4月底入户进行摸底调查，征求村民意见，127户住户均同意搬迁。某自然庄搬迁补偿实施方案经过了村党支部、村“两委”班子会、村党员大会、村民代表大会讨论通过，并进行了公示。某自然庄共127户，自2023年9月1日搬迁工作正式启动后，截</w:t>
      </w:r>
      <w:r>
        <w:rPr>
          <w:rFonts w:hint="eastAsia" w:ascii="仿宋_GB2312" w:eastAsia="仿宋_GB2312" w:cs="Times New Roman"/>
          <w:sz w:val="32"/>
          <w:szCs w:val="32"/>
          <w:lang w:eastAsia="zh-CN"/>
        </w:rPr>
        <w:t>至</w:t>
      </w:r>
      <w:bookmarkStart w:id="4" w:name="_GoBack"/>
      <w:bookmarkEnd w:id="4"/>
      <w:r>
        <w:rPr>
          <w:rFonts w:hint="eastAsia" w:ascii="仿宋_GB2312" w:hAnsi="Times New Roman" w:eastAsia="仿宋_GB2312" w:cs="Times New Roman"/>
          <w:sz w:val="32"/>
          <w:szCs w:val="32"/>
          <w:lang w:eastAsia="zh-CN"/>
        </w:rPr>
        <w:t>目前，116户签订了搬迁补偿协议。某乡人民政府在搬迁启动、方案制定、搬迁程序上严格把关，起到了主导作用，落实了主体责任。</w:t>
      </w:r>
    </w:p>
    <w:p w14:paraId="5DBF5E1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三、因采煤沉陷造成的某自然庄避让搬迁，不符合适用《国有土地上房屋征收与补偿条例》的条件。</w:t>
      </w:r>
    </w:p>
    <w:p w14:paraId="5E61471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某自然庄是集体土地，而且是因采煤沉陷引发的避让搬迁，无法参照适用该条例。村民所签搬迁补偿协议自愿、公平、合法，不存在通过话术诱导、威胁等方式，要求村民签订补偿协议的行为。</w:t>
      </w:r>
    </w:p>
    <w:p w14:paraId="4C1F2EE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某自然庄避让搬迁项目依法实施，被申请人已依法履行安置补偿职责，申请人的复议请求不能成立。根据《中华人民共和国行政复议法》第六十九条之规定，请求行政复议机关依法驳回申请人的行政复议请求。</w:t>
      </w:r>
    </w:p>
    <w:p w14:paraId="00EC3A7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经审理查明：</w:t>
      </w:r>
      <w:r>
        <w:rPr>
          <w:rFonts w:hint="eastAsia" w:ascii="仿宋_GB2312" w:eastAsia="仿宋_GB2312"/>
          <w:sz w:val="32"/>
          <w:szCs w:val="32"/>
          <w:lang w:eastAsia="zh-CN"/>
        </w:rPr>
        <w:t>申请人</w:t>
      </w:r>
      <w:r>
        <w:rPr>
          <w:rFonts w:hint="eastAsia" w:ascii="仿宋_GB2312" w:eastAsia="仿宋_GB2312"/>
          <w:sz w:val="32"/>
          <w:szCs w:val="32"/>
        </w:rPr>
        <w:t>是</w:t>
      </w:r>
      <w:r>
        <w:rPr>
          <w:rFonts w:hint="eastAsia" w:ascii="仿宋_GB2312" w:eastAsia="仿宋_GB2312"/>
          <w:sz w:val="32"/>
          <w:szCs w:val="32"/>
          <w:lang w:eastAsia="zh-CN"/>
        </w:rPr>
        <w:t>沁水县某乡某自然庄</w:t>
      </w:r>
      <w:r>
        <w:rPr>
          <w:rFonts w:hint="eastAsia" w:ascii="仿宋_GB2312" w:eastAsia="仿宋_GB2312"/>
          <w:sz w:val="32"/>
          <w:szCs w:val="32"/>
        </w:rPr>
        <w:t>村民，</w:t>
      </w:r>
      <w:r>
        <w:rPr>
          <w:rFonts w:hint="eastAsia" w:ascii="仿宋_GB2312" w:eastAsia="仿宋_GB2312"/>
          <w:sz w:val="32"/>
          <w:szCs w:val="32"/>
          <w:lang w:eastAsia="zh-CN"/>
        </w:rPr>
        <w:t>其在某自然庄</w:t>
      </w:r>
      <w:r>
        <w:rPr>
          <w:rFonts w:hint="eastAsia" w:ascii="仿宋_GB2312" w:eastAsia="仿宋_GB2312"/>
          <w:sz w:val="32"/>
          <w:szCs w:val="32"/>
          <w:lang w:val="en-US" w:eastAsia="zh-CN"/>
        </w:rPr>
        <w:t>拥有房屋。</w:t>
      </w:r>
      <w:r>
        <w:rPr>
          <w:rFonts w:hint="eastAsia" w:ascii="仿宋_GB2312" w:eastAsia="仿宋_GB2312"/>
          <w:sz w:val="32"/>
          <w:szCs w:val="32"/>
          <w:lang w:eastAsia="zh-CN"/>
        </w:rPr>
        <w:t>沁水县某乡某自然庄处于采煤沉陷区，属于沁水县“十四五”治理范围。</w:t>
      </w:r>
      <w:r>
        <w:rPr>
          <w:rFonts w:hint="eastAsia" w:ascii="仿宋_GB2312" w:eastAsia="仿宋_GB2312"/>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某煤业有限公司、沁水县某乡人民政府、沁水县某乡某村（某自然庄）村民委员会和山西某数据管理有限公司共同签订《某煤业沁水县某乡压煤村庄（某自然庄）搬迁补偿项目四方协议》。《沁水县某乡某自然庄搬迁补偿实施方案》通过“四议两公开”程序讨论、表决、公示。</w:t>
      </w:r>
    </w:p>
    <w:p w14:paraId="0DCDB34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因申请人就搬迁补偿有不同意见，2024年3月26日，申请人通过EMS向被申请人提出《安置补偿履职申请书》，被申请人未予答复。</w:t>
      </w:r>
    </w:p>
    <w:p w14:paraId="751583E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eastAsia="仿宋_GB2312"/>
          <w:sz w:val="32"/>
          <w:szCs w:val="32"/>
          <w:lang w:eastAsia="zh-CN"/>
        </w:rPr>
        <w:t>沁水县某乡某自然庄处于采煤沉陷区，该村的避让搬迁行为不是一种征收行为，而是采煤沉陷区综合治理的一部分。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eastAsia="仿宋_GB2312"/>
          <w:sz w:val="32"/>
          <w:szCs w:val="32"/>
          <w:lang w:val="en-US" w:eastAsia="zh-CN"/>
        </w:rPr>
        <w:t>安置补偿履职申请没有事实依据。</w:t>
      </w:r>
    </w:p>
    <w:p w14:paraId="35A079C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沁水县某乡某自然庄搬迁补偿实施方案》是由沁水县某村村民委员会制定，并通过“四议两公开”程序讨论、表决、公示。申请人对搬迁安置补偿有异议，应当按照村民委员会组织法规定的方式和途径寻求解决，而不是直接要求被申请人履行安置补偿职责。</w:t>
      </w:r>
    </w:p>
    <w:p w14:paraId="05A770A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 w:hAnsi="仿宋" w:eastAsia="仿宋" w:cs="仿宋"/>
          <w:sz w:val="32"/>
          <w:szCs w:val="32"/>
          <w:lang w:eastAsia="zh-CN"/>
        </w:rPr>
        <w:t>综上，</w:t>
      </w:r>
      <w:r>
        <w:rPr>
          <w:rFonts w:hint="eastAsia" w:ascii="仿宋_GB2312" w:eastAsia="仿宋_GB2312"/>
          <w:sz w:val="32"/>
          <w:szCs w:val="32"/>
        </w:rPr>
        <w:t>根据《中华人民共和国行政复议法》第</w:t>
      </w:r>
      <w:r>
        <w:rPr>
          <w:rFonts w:hint="eastAsia" w:ascii="仿宋_GB2312" w:eastAsia="仿宋_GB2312"/>
          <w:sz w:val="32"/>
          <w:szCs w:val="32"/>
          <w:lang w:eastAsia="zh-CN"/>
        </w:rPr>
        <w:t>六十九</w:t>
      </w:r>
      <w:r>
        <w:rPr>
          <w:rFonts w:hint="eastAsia" w:ascii="仿宋_GB2312" w:eastAsia="仿宋_GB2312"/>
          <w:sz w:val="32"/>
          <w:szCs w:val="32"/>
        </w:rPr>
        <w:t>条的规定，本复议机关作出如下决定：</w:t>
      </w:r>
    </w:p>
    <w:p w14:paraId="4816D9D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eastAsia="仿宋_GB2312"/>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3F8E692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rPr>
      </w:pPr>
      <w:r>
        <w:rPr>
          <w:rFonts w:hint="eastAsia" w:ascii="仿宋_GB2312" w:eastAsia="仿宋_GB2312"/>
          <w:sz w:val="32"/>
          <w:szCs w:val="32"/>
          <w:lang w:val="zh-CN"/>
        </w:rPr>
        <w:t>如对本复议决定不服，申请人可在收到复议决定书后十五日内向长治市中级人民法院提起行政诉讼。</w:t>
      </w:r>
    </w:p>
    <w:p w14:paraId="3029FB9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r>
        <w:rPr>
          <w:rFonts w:hint="eastAsia" w:ascii="仿宋_GB2312" w:eastAsia="仿宋_GB2312"/>
          <w:sz w:val="32"/>
          <w:szCs w:val="32"/>
        </w:rPr>
        <w:t xml:space="preserve">       </w:t>
      </w:r>
    </w:p>
    <w:p w14:paraId="6DD4E17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118BF30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6F02D32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二〇二四年</w:t>
      </w:r>
      <w:r>
        <w:rPr>
          <w:rFonts w:hint="eastAsia" w:ascii="仿宋_GB2312" w:eastAsia="仿宋_GB2312"/>
          <w:sz w:val="32"/>
          <w:szCs w:val="32"/>
          <w:lang w:val="en-US" w:eastAsia="zh-CN"/>
        </w:rPr>
        <w:t>八</w:t>
      </w:r>
      <w:r>
        <w:rPr>
          <w:rFonts w:hint="eastAsia" w:ascii="仿宋_GB2312" w:eastAsia="仿宋_GB2312"/>
          <w:sz w:val="32"/>
          <w:szCs w:val="32"/>
          <w:lang w:eastAsia="zh-CN"/>
        </w:rPr>
        <w:t>月二十七日</w:t>
      </w:r>
    </w:p>
    <w:p w14:paraId="7374B5A2"/>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E3189">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6722E40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5276">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14:paraId="61A698E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509FC">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234B5"/>
    <w:rsid w:val="665234B5"/>
    <w:rsid w:val="B1EBBF9C"/>
    <w:rsid w:val="EDFBE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2025-04-01T19:37:00Z</dcterms:created>
  <dc:creator>山风</dc:creator>
  <cp:lastModifiedBy>greatwall</cp:lastModifiedBy>
  <dcterms:modified xsi:type="dcterms:W3CDTF">2026-05-14T09:45:02Z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D8810353AAC74149842E1606DF94DF69_11</vt:lpwstr>
  </property>
  <property fmtid="{D5CDD505-2E9C-101B-9397-08002B2CF9AE}" pid="4" name="KSOTemplateDocerSaveRecord">
    <vt:lpwstr>eyJoZGlkIjoiY2FiYmY1MTJkNjk2MzJlZDQxYzcyNWJlOGEwNWQ3M2IiLCJ1c2VySWQiOiIyODA5MjQ0NjcifQ==</vt:lpwstr>
  </property>
</Properties>
</file>